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86582C">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7B4727" w14:paraId="2B6491CC" w14:textId="77777777" w:rsidTr="00DC08BE">
        <w:trPr>
          <w:trHeight w:val="728"/>
        </w:trPr>
        <w:tc>
          <w:tcPr>
            <w:tcW w:w="3062" w:type="dxa"/>
          </w:tcPr>
          <w:p w14:paraId="50C19AA7" w14:textId="77777777" w:rsidR="0086582C" w:rsidRPr="00E80BFA" w:rsidRDefault="0086582C" w:rsidP="00E80BFA">
            <w:pPr>
              <w:jc w:val="center"/>
              <w:rPr>
                <w:rFonts w:ascii="Times New Roman" w:hAnsi="Times New Roman" w:cs="Times New Roman"/>
                <w:b/>
                <w:bCs/>
              </w:rPr>
            </w:pPr>
            <w:r w:rsidRPr="00E80BFA">
              <w:rPr>
                <w:rFonts w:ascii="Times New Roman" w:hAnsi="Times New Roman" w:cs="Times New Roman"/>
                <w:b/>
                <w:bCs/>
              </w:rPr>
              <w:t>Article Number</w:t>
            </w:r>
          </w:p>
          <w:p w14:paraId="2E56DFC5" w14:textId="05672075" w:rsidR="0086582C" w:rsidRPr="00E80BFA" w:rsidRDefault="006B4311" w:rsidP="00E80BFA">
            <w:pPr>
              <w:spacing w:after="300"/>
              <w:jc w:val="center"/>
              <w:rPr>
                <w:rFonts w:ascii="Times New Roman" w:hAnsi="Times New Roman" w:cs="Times New Roman"/>
                <w:b/>
              </w:rPr>
            </w:pPr>
            <w:r>
              <w:rPr>
                <w:rFonts w:ascii="Times New Roman" w:hAnsi="Times New Roman" w:cs="Times New Roman"/>
                <w:b/>
              </w:rPr>
              <w:t>JERCS-3057</w:t>
            </w:r>
          </w:p>
        </w:tc>
        <w:tc>
          <w:tcPr>
            <w:tcW w:w="3600" w:type="dxa"/>
          </w:tcPr>
          <w:p w14:paraId="49AAB22B" w14:textId="77777777" w:rsidR="00F218BE" w:rsidRDefault="0086582C" w:rsidP="00F218BE">
            <w:pPr>
              <w:autoSpaceDE w:val="0"/>
              <w:autoSpaceDN w:val="0"/>
              <w:adjustRightInd w:val="0"/>
              <w:spacing w:after="0" w:line="240" w:lineRule="auto"/>
              <w:jc w:val="center"/>
              <w:rPr>
                <w:rFonts w:ascii="Times New Roman" w:hAnsi="Times New Roman" w:cs="Times New Roman"/>
                <w:b/>
                <w:bCs/>
                <w:lang w:val="en-GB"/>
              </w:rPr>
            </w:pPr>
            <w:r w:rsidRPr="00E80BFA">
              <w:rPr>
                <w:rFonts w:ascii="Times New Roman" w:hAnsi="Times New Roman" w:cs="Times New Roman"/>
                <w:b/>
                <w:bCs/>
                <w:lang w:val="en-GB"/>
              </w:rPr>
              <w:t>Author Name</w:t>
            </w:r>
            <w:r w:rsidR="005A7FB0" w:rsidRPr="00E80BFA">
              <w:rPr>
                <w:rFonts w:ascii="Times New Roman" w:hAnsi="Times New Roman" w:cs="Times New Roman"/>
                <w:b/>
                <w:bCs/>
                <w:lang w:val="en-GB"/>
              </w:rPr>
              <w:br/>
            </w:r>
          </w:p>
          <w:p w14:paraId="733E5C07" w14:textId="0436EE6F" w:rsidR="0086582C" w:rsidRPr="00F218BE" w:rsidRDefault="006B4311" w:rsidP="00F218BE">
            <w:pPr>
              <w:autoSpaceDE w:val="0"/>
              <w:autoSpaceDN w:val="0"/>
              <w:adjustRightInd w:val="0"/>
              <w:spacing w:after="0" w:line="240" w:lineRule="auto"/>
              <w:jc w:val="center"/>
              <w:rPr>
                <w:rFonts w:ascii="Times New Roman" w:hAnsi="Times New Roman" w:cs="Times New Roman"/>
                <w:b/>
                <w:bCs/>
                <w:lang w:val="en-GB"/>
              </w:rPr>
            </w:pPr>
            <w:r w:rsidRPr="006B4311">
              <w:rPr>
                <w:rFonts w:ascii="Times New Roman" w:hAnsi="Times New Roman" w:cs="Times New Roman"/>
                <w:b/>
                <w:bCs/>
                <w:lang w:val="en-GB"/>
              </w:rPr>
              <w:t>Campo Katelynd</w:t>
            </w:r>
          </w:p>
        </w:tc>
        <w:tc>
          <w:tcPr>
            <w:tcW w:w="3510" w:type="dxa"/>
          </w:tcPr>
          <w:p w14:paraId="3A5D6125" w14:textId="77777777" w:rsidR="0086582C" w:rsidRPr="00292F16" w:rsidRDefault="0086582C" w:rsidP="003F539F">
            <w:pPr>
              <w:rPr>
                <w:rFonts w:ascii="Times New Roman" w:hAnsi="Times New Roman" w:cs="Times New Roman"/>
                <w:color w:val="000000" w:themeColor="text1"/>
                <w:sz w:val="20"/>
                <w:szCs w:val="20"/>
              </w:rPr>
            </w:pPr>
            <w:r w:rsidRPr="00292F16">
              <w:rPr>
                <w:rFonts w:ascii="Times New Roman" w:hAnsi="Times New Roman" w:cs="Times New Roman"/>
                <w:color w:val="000000" w:themeColor="text1"/>
                <w:sz w:val="20"/>
                <w:szCs w:val="20"/>
              </w:rPr>
              <w:t xml:space="preserve"> </w:t>
            </w:r>
          </w:p>
        </w:tc>
      </w:tr>
      <w:tr w:rsidR="0086582C" w:rsidRPr="007B4727" w14:paraId="058EAE4E" w14:textId="77777777" w:rsidTr="003F539F">
        <w:trPr>
          <w:trHeight w:val="413"/>
        </w:trPr>
        <w:tc>
          <w:tcPr>
            <w:tcW w:w="3062" w:type="dxa"/>
          </w:tcPr>
          <w:p w14:paraId="4C3A1248" w14:textId="6A35C980" w:rsidR="0086582C" w:rsidRPr="00117F2C" w:rsidRDefault="000A2DF5" w:rsidP="000A2DF5">
            <w:pPr>
              <w:ind w:left="360"/>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Accept</w:t>
            </w:r>
          </w:p>
        </w:tc>
        <w:tc>
          <w:tcPr>
            <w:tcW w:w="3600" w:type="dxa"/>
          </w:tcPr>
          <w:p w14:paraId="6ADC1F75" w14:textId="423ECE8A" w:rsidR="0086582C" w:rsidRPr="00EF26A9" w:rsidRDefault="00EF26A9" w:rsidP="00F218BE">
            <w:pPr>
              <w:ind w:left="1417"/>
              <w:rPr>
                <w:rFonts w:ascii="Times New Roman" w:hAnsi="Times New Roman" w:cs="Times New Roman"/>
                <w:b/>
                <w:color w:val="000000" w:themeColor="text1"/>
              </w:rPr>
            </w:pPr>
            <w:r w:rsidRPr="00EF26A9">
              <w:rPr>
                <w:rFonts w:ascii="Times New Roman" w:hAnsi="Times New Roman" w:cs="Times New Roman"/>
                <w:b/>
                <w:color w:val="000000" w:themeColor="text1"/>
              </w:rPr>
              <w:t xml:space="preserve">√ </w:t>
            </w:r>
            <w:r w:rsidR="00D142F9" w:rsidRPr="00EF26A9">
              <w:rPr>
                <w:rFonts w:ascii="Times New Roman" w:hAnsi="Times New Roman" w:cs="Times New Roman"/>
                <w:b/>
                <w:color w:val="000000" w:themeColor="text1"/>
              </w:rPr>
              <w:t>Minor Revision</w:t>
            </w:r>
          </w:p>
        </w:tc>
        <w:tc>
          <w:tcPr>
            <w:tcW w:w="3510" w:type="dxa"/>
          </w:tcPr>
          <w:p w14:paraId="19AFBA67" w14:textId="77777777" w:rsidR="0086582C" w:rsidRPr="00EF26A9" w:rsidRDefault="00D142F9" w:rsidP="00EF26A9">
            <w:pPr>
              <w:ind w:left="1080"/>
              <w:rPr>
                <w:rFonts w:ascii="Times New Roman" w:hAnsi="Times New Roman" w:cs="Times New Roman"/>
                <w:color w:val="000000" w:themeColor="text1"/>
              </w:rPr>
            </w:pPr>
            <w:r w:rsidRPr="00EF26A9">
              <w:rPr>
                <w:rFonts w:ascii="Times New Roman" w:hAnsi="Times New Roman" w:cs="Times New Roman"/>
                <w:color w:val="000000" w:themeColor="text1"/>
              </w:rPr>
              <w:t>Major Revision</w:t>
            </w:r>
          </w:p>
        </w:tc>
      </w:tr>
      <w:tr w:rsidR="0086582C" w:rsidRPr="007B4727" w14:paraId="5474182F" w14:textId="77777777" w:rsidTr="00DC08BE">
        <w:trPr>
          <w:trHeight w:val="404"/>
        </w:trPr>
        <w:tc>
          <w:tcPr>
            <w:tcW w:w="3062" w:type="dxa"/>
          </w:tcPr>
          <w:p w14:paraId="4DC1923E" w14:textId="4D91B767" w:rsidR="0086582C" w:rsidRPr="00117F2C" w:rsidRDefault="000A2DF5" w:rsidP="000A2DF5">
            <w:pPr>
              <w:jc w:val="both"/>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Reject</w:t>
            </w:r>
          </w:p>
        </w:tc>
        <w:tc>
          <w:tcPr>
            <w:tcW w:w="3600" w:type="dxa"/>
          </w:tcPr>
          <w:p w14:paraId="16143F4D" w14:textId="77777777" w:rsidR="0086582C" w:rsidRPr="00117F2C" w:rsidRDefault="00C16A36" w:rsidP="00D142F9">
            <w:pPr>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 xml:space="preserve">        </w:t>
            </w:r>
            <w:r w:rsidR="00123677"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Re-revision</w:t>
            </w:r>
          </w:p>
        </w:tc>
        <w:tc>
          <w:tcPr>
            <w:tcW w:w="3510" w:type="dxa"/>
          </w:tcPr>
          <w:p w14:paraId="21CD1A3B" w14:textId="77777777" w:rsidR="0086582C" w:rsidRPr="00117F2C" w:rsidRDefault="001F1CBD" w:rsidP="00FB4040">
            <w:pPr>
              <w:rPr>
                <w:rFonts w:ascii="Times New Roman" w:hAnsi="Times New Roman" w:cs="Times New Roman"/>
                <w:color w:val="000000" w:themeColor="text1"/>
              </w:rPr>
            </w:pPr>
            <w:r w:rsidRPr="00117F2C">
              <w:rPr>
                <w:rFonts w:ascii="Times New Roman" w:hAnsi="Times New Roman" w:cs="Times New Roman"/>
                <w:color w:val="000000" w:themeColor="text1"/>
              </w:rPr>
              <w:t xml:space="preserve">              </w:t>
            </w:r>
            <w:r w:rsidR="00A618E5" w:rsidRPr="00117F2C">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Poor Quality</w:t>
            </w:r>
          </w:p>
        </w:tc>
      </w:tr>
      <w:tr w:rsidR="0086582C" w:rsidRPr="007B4727" w14:paraId="5193B504" w14:textId="77777777" w:rsidTr="003F539F">
        <w:trPr>
          <w:trHeight w:val="9352"/>
        </w:trPr>
        <w:tc>
          <w:tcPr>
            <w:tcW w:w="10172" w:type="dxa"/>
            <w:gridSpan w:val="3"/>
          </w:tcPr>
          <w:p w14:paraId="7FEFB961" w14:textId="68240DCC" w:rsidR="002D3289" w:rsidRDefault="002D3289" w:rsidP="00E80BFA">
            <w:pPr>
              <w:pStyle w:val="NormalWeb"/>
              <w:spacing w:line="360" w:lineRule="auto"/>
              <w:rPr>
                <w:b/>
                <w:color w:val="000000"/>
                <w:shd w:val="clear" w:color="auto" w:fill="FFFFFF"/>
                <w:lang w:val="en-IN" w:eastAsia="en-IN"/>
              </w:rPr>
            </w:pPr>
            <w:r w:rsidRPr="002D3289">
              <w:rPr>
                <w:b/>
                <w:color w:val="000000"/>
                <w:shd w:val="clear" w:color="auto" w:fill="FFFFFF"/>
                <w:lang w:val="en-IN" w:eastAsia="en-IN"/>
              </w:rPr>
              <w:t>Gender &amp; Law: Does the Battered Woman Syndrome Create Divides in Legal Equality Between Heterosexual and LGBTQIA2S+ Couples in Modern-Day Canadian Criminal Cases?</w:t>
            </w:r>
          </w:p>
          <w:p w14:paraId="4EEDE1C6" w14:textId="0FF835E5" w:rsidR="00271839" w:rsidRPr="006B4311" w:rsidRDefault="001E7706" w:rsidP="002E0EA3">
            <w:pPr>
              <w:spacing w:before="100" w:beforeAutospacing="1" w:after="100" w:afterAutospacing="1" w:line="360" w:lineRule="auto"/>
              <w:rPr>
                <w:rFonts w:ascii="Times New Roman" w:eastAsia="Times New Roman" w:hAnsi="Times New Roman" w:cs="Times New Roman"/>
                <w:sz w:val="24"/>
                <w:szCs w:val="24"/>
              </w:rPr>
            </w:pPr>
            <w:r w:rsidRPr="006B4311">
              <w:rPr>
                <w:rFonts w:ascii="Times New Roman" w:hAnsi="Times New Roman" w:cs="Times New Roman"/>
                <w:b/>
                <w:color w:val="000000"/>
                <w:shd w:val="clear" w:color="auto" w:fill="FFFFFF"/>
                <w:lang w:val="en-IN" w:eastAsia="en-IN"/>
              </w:rPr>
              <w:t xml:space="preserve">General </w:t>
            </w:r>
            <w:r w:rsidR="00CF0769" w:rsidRPr="006B4311">
              <w:rPr>
                <w:rFonts w:ascii="Times New Roman" w:hAnsi="Times New Roman" w:cs="Times New Roman"/>
                <w:b/>
                <w:color w:val="000000"/>
                <w:shd w:val="clear" w:color="auto" w:fill="FFFFFF"/>
                <w:lang w:val="en-IN" w:eastAsia="en-IN"/>
              </w:rPr>
              <w:t>C</w:t>
            </w:r>
            <w:r w:rsidRPr="006B4311">
              <w:rPr>
                <w:rFonts w:ascii="Times New Roman" w:hAnsi="Times New Roman" w:cs="Times New Roman"/>
                <w:b/>
                <w:color w:val="000000"/>
                <w:shd w:val="clear" w:color="auto" w:fill="FFFFFF"/>
                <w:lang w:val="en-IN" w:eastAsia="en-IN"/>
              </w:rPr>
              <w:t>omments:</w:t>
            </w:r>
            <w:r w:rsidR="009B3B5D" w:rsidRPr="006B4311">
              <w:rPr>
                <w:rFonts w:ascii="Times New Roman" w:hAnsi="Times New Roman" w:cs="Times New Roman"/>
              </w:rPr>
              <w:t xml:space="preserve"> </w:t>
            </w:r>
            <w:r w:rsidR="006B4311" w:rsidRPr="006B4311">
              <w:rPr>
                <w:rFonts w:ascii="Times New Roman" w:hAnsi="Times New Roman" w:cs="Times New Roman"/>
              </w:rPr>
              <w:t>Overall, this paper provides a thought-provoking and well-researched analysis of the BWS within Canadian criminal law. By adding empirical support and offering clear, practical recommendations, the article can significantly strengthen its contribution to academic discourse and legal reform advocacy.</w:t>
            </w:r>
          </w:p>
          <w:p w14:paraId="323E5019" w14:textId="2C3F7324" w:rsidR="00271839" w:rsidRPr="00271839" w:rsidRDefault="002D3289" w:rsidP="00271839">
            <w:pPr>
              <w:spacing w:before="100" w:beforeAutospacing="1" w:after="100" w:afterAutospacing="1" w:line="360" w:lineRule="auto"/>
              <w:rPr>
                <w:rFonts w:ascii="Times New Roman" w:hAnsi="Times New Roman" w:cs="Times New Roman"/>
                <w:sz w:val="24"/>
                <w:szCs w:val="24"/>
              </w:rPr>
            </w:pPr>
            <w:r w:rsidRPr="002D3289">
              <w:rPr>
                <w:rFonts w:ascii="Times New Roman" w:hAnsi="Times New Roman" w:cs="Times New Roman"/>
                <w:b/>
                <w:szCs w:val="24"/>
              </w:rPr>
              <w:t>Introduction</w:t>
            </w:r>
            <w:r>
              <w:rPr>
                <w:rFonts w:ascii="Times New Roman" w:hAnsi="Times New Roman" w:cs="Times New Roman"/>
                <w:b/>
                <w:szCs w:val="24"/>
              </w:rPr>
              <w:t xml:space="preserve">: </w:t>
            </w:r>
            <w:r w:rsidR="00271839" w:rsidRPr="00271839">
              <w:rPr>
                <w:rFonts w:ascii="Times New Roman" w:hAnsi="Times New Roman" w:cs="Times New Roman"/>
                <w:sz w:val="24"/>
                <w:szCs w:val="24"/>
              </w:rPr>
              <w:t xml:space="preserve">The introduction successfully contextualizes the topic and establishes sound context for BWS particularly given the landmark R. v. </w:t>
            </w:r>
            <w:proofErr w:type="spellStart"/>
            <w:r w:rsidR="00271839" w:rsidRPr="00271839">
              <w:rPr>
                <w:rFonts w:ascii="Times New Roman" w:hAnsi="Times New Roman" w:cs="Times New Roman"/>
                <w:sz w:val="24"/>
                <w:szCs w:val="24"/>
              </w:rPr>
              <w:t>Lavallee</w:t>
            </w:r>
            <w:proofErr w:type="spellEnd"/>
            <w:r w:rsidR="00271839" w:rsidRPr="00271839">
              <w:rPr>
                <w:rFonts w:ascii="Times New Roman" w:hAnsi="Times New Roman" w:cs="Times New Roman"/>
                <w:sz w:val="24"/>
                <w:szCs w:val="24"/>
              </w:rPr>
              <w:t xml:space="preserve"> case. However, </w:t>
            </w:r>
            <w:r w:rsidR="006B4311">
              <w:rPr>
                <w:rFonts w:ascii="Times New Roman" w:hAnsi="Times New Roman" w:cs="Times New Roman"/>
                <w:sz w:val="24"/>
                <w:szCs w:val="24"/>
              </w:rPr>
              <w:t>we</w:t>
            </w:r>
            <w:r w:rsidR="00271839" w:rsidRPr="00271839">
              <w:rPr>
                <w:rFonts w:ascii="Times New Roman" w:hAnsi="Times New Roman" w:cs="Times New Roman"/>
                <w:sz w:val="24"/>
                <w:szCs w:val="24"/>
              </w:rPr>
              <w:t xml:space="preserve"> would suggest more clearly identifying the objective of the study with something like this: "While a considerable volume of studies have identified BWS in relation to female defendants, little attention has been afforded to how BWS is a </w:t>
            </w:r>
            <w:proofErr w:type="spellStart"/>
            <w:r w:rsidR="00271839" w:rsidRPr="00271839">
              <w:rPr>
                <w:rFonts w:ascii="Times New Roman" w:hAnsi="Times New Roman" w:cs="Times New Roman"/>
                <w:sz w:val="24"/>
                <w:szCs w:val="24"/>
              </w:rPr>
              <w:t>defence</w:t>
            </w:r>
            <w:proofErr w:type="spellEnd"/>
            <w:r w:rsidR="00271839" w:rsidRPr="00271839">
              <w:rPr>
                <w:rFonts w:ascii="Times New Roman" w:hAnsi="Times New Roman" w:cs="Times New Roman"/>
                <w:sz w:val="24"/>
                <w:szCs w:val="24"/>
              </w:rPr>
              <w:t xml:space="preserve"> that excludes men and LGBTQIA2S+ individuals." This more clearly reflects the originality of the paper.</w:t>
            </w:r>
          </w:p>
          <w:p w14:paraId="1B938F60" w14:textId="600780D9" w:rsidR="00271839" w:rsidRPr="00271839" w:rsidRDefault="006B4311" w:rsidP="00271839">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We</w:t>
            </w:r>
            <w:r w:rsidR="00271839" w:rsidRPr="00271839">
              <w:rPr>
                <w:rFonts w:ascii="Times New Roman" w:hAnsi="Times New Roman" w:cs="Times New Roman"/>
                <w:sz w:val="24"/>
                <w:szCs w:val="24"/>
              </w:rPr>
              <w:t xml:space="preserve"> dearly appreciate the synopses of Canadian cases in particular </w:t>
            </w:r>
            <w:proofErr w:type="spellStart"/>
            <w:r w:rsidR="00271839" w:rsidRPr="00271839">
              <w:rPr>
                <w:rFonts w:ascii="Times New Roman" w:hAnsi="Times New Roman" w:cs="Times New Roman"/>
                <w:sz w:val="24"/>
                <w:szCs w:val="24"/>
              </w:rPr>
              <w:t>Lavallee</w:t>
            </w:r>
            <w:proofErr w:type="spellEnd"/>
            <w:r w:rsidR="00271839" w:rsidRPr="00271839">
              <w:rPr>
                <w:rFonts w:ascii="Times New Roman" w:hAnsi="Times New Roman" w:cs="Times New Roman"/>
                <w:sz w:val="24"/>
                <w:szCs w:val="24"/>
              </w:rPr>
              <w:t xml:space="preserve">, </w:t>
            </w:r>
            <w:proofErr w:type="spellStart"/>
            <w:r w:rsidR="00271839" w:rsidRPr="00271839">
              <w:rPr>
                <w:rFonts w:ascii="Times New Roman" w:hAnsi="Times New Roman" w:cs="Times New Roman"/>
                <w:sz w:val="24"/>
                <w:szCs w:val="24"/>
              </w:rPr>
              <w:t>Getkate</w:t>
            </w:r>
            <w:proofErr w:type="spellEnd"/>
            <w:r w:rsidR="00271839" w:rsidRPr="00271839">
              <w:rPr>
                <w:rFonts w:ascii="Times New Roman" w:hAnsi="Times New Roman" w:cs="Times New Roman"/>
                <w:sz w:val="24"/>
                <w:szCs w:val="24"/>
              </w:rPr>
              <w:t>, Butler, and Mason. The detailed provision of case summaries is useful and provides a solid factual foundation. However, in places, the results and discussion coalesce to make it less clear where the objective case description ends and where subjective interpretations begins.</w:t>
            </w:r>
          </w:p>
          <w:p w14:paraId="10B061C7" w14:textId="06F00383" w:rsidR="00D93981" w:rsidRPr="00271839" w:rsidRDefault="00271839" w:rsidP="00271839">
            <w:pPr>
              <w:spacing w:before="100" w:beforeAutospacing="1" w:after="100" w:afterAutospacing="1" w:line="360" w:lineRule="auto"/>
              <w:rPr>
                <w:rFonts w:ascii="Times New Roman" w:hAnsi="Times New Roman" w:cs="Times New Roman"/>
                <w:sz w:val="28"/>
                <w:szCs w:val="24"/>
              </w:rPr>
            </w:pPr>
            <w:r w:rsidRPr="00271839">
              <w:rPr>
                <w:rFonts w:ascii="Times New Roman" w:hAnsi="Times New Roman" w:cs="Times New Roman"/>
                <w:sz w:val="24"/>
                <w:szCs w:val="24"/>
              </w:rPr>
              <w:t>The discussion is an impressively engaged piece of feminist theorizing and socio-legal critique. The discussion would be further enlightened by the addition of quantitative research to support claims particularly with respect of male and LGBTQIA2S+ victimization, and showing these figures empirically represents an effective argument in suggesting these cases are emergent in study but grossly underrepresented.</w:t>
            </w:r>
          </w:p>
          <w:p w14:paraId="3C91445C" w14:textId="77777777" w:rsidR="00271839" w:rsidRDefault="00271839" w:rsidP="00271839">
            <w:pPr>
              <w:spacing w:before="100" w:beforeAutospacing="1" w:after="100" w:afterAutospacing="1" w:line="360" w:lineRule="auto"/>
              <w:rPr>
                <w:rFonts w:ascii="Times New Roman" w:hAnsi="Times New Roman" w:cs="Times New Roman"/>
                <w:sz w:val="24"/>
                <w:szCs w:val="24"/>
              </w:rPr>
            </w:pPr>
            <w:r w:rsidRPr="00271839">
              <w:rPr>
                <w:rFonts w:ascii="Times New Roman" w:hAnsi="Times New Roman" w:cs="Times New Roman"/>
                <w:sz w:val="24"/>
                <w:szCs w:val="24"/>
              </w:rPr>
              <w:t xml:space="preserve">The conclusion serves as a strong confirmation of the paper's overall idea that the sole use of BWS for </w:t>
            </w:r>
            <w:r w:rsidRPr="00271839">
              <w:rPr>
                <w:rFonts w:ascii="Times New Roman" w:hAnsi="Times New Roman" w:cs="Times New Roman"/>
                <w:sz w:val="24"/>
                <w:szCs w:val="24"/>
              </w:rPr>
              <w:lastRenderedPageBreak/>
              <w:t>women reinforces inequality. However, it is best to avoid introducing new arguments or quotes in the conclusion without having evidence in the body of the article.</w:t>
            </w:r>
          </w:p>
          <w:p w14:paraId="04D0993F" w14:textId="016E868D" w:rsidR="00BB47F4" w:rsidRPr="00F218BE" w:rsidRDefault="00B05C24" w:rsidP="00EF26A9">
            <w:pPr>
              <w:spacing w:before="100" w:beforeAutospacing="1" w:after="100" w:afterAutospacing="1" w:line="360" w:lineRule="auto"/>
              <w:rPr>
                <w:rFonts w:ascii="Times New Roman" w:eastAsia="Times New Roman" w:hAnsi="Times New Roman" w:cs="Times New Roman"/>
                <w:b/>
                <w:color w:val="000000"/>
                <w:sz w:val="24"/>
                <w:szCs w:val="24"/>
                <w:shd w:val="clear" w:color="auto" w:fill="FFFFFF"/>
                <w:lang w:val="en-IN" w:eastAsia="en-IN"/>
              </w:rPr>
            </w:pPr>
            <w:r w:rsidRPr="00B05C24">
              <w:rPr>
                <w:rFonts w:ascii="Times New Roman" w:hAnsi="Times New Roman" w:cs="Times New Roman"/>
                <w:b/>
                <w:sz w:val="24"/>
                <w:szCs w:val="24"/>
              </w:rPr>
              <w:t>References:</w:t>
            </w:r>
            <w:r>
              <w:rPr>
                <w:rFonts w:ascii="Times New Roman" w:hAnsi="Times New Roman" w:cs="Times New Roman"/>
                <w:sz w:val="24"/>
                <w:szCs w:val="24"/>
              </w:rPr>
              <w:t xml:space="preserve"> </w:t>
            </w:r>
            <w:r w:rsidR="00271839" w:rsidRPr="00271839">
              <w:rPr>
                <w:rFonts w:ascii="Times New Roman" w:hAnsi="Times New Roman" w:cs="Times New Roman"/>
                <w:sz w:val="24"/>
                <w:szCs w:val="24"/>
              </w:rPr>
              <w:t>The references section is very thorough use of all relevant sources. At this time, it’s mentioned as inline references like author name and year instead of reference number. In accordance with the journal, assign numbers to the references in the reference list and replace the reference number in the body of the article instead of (author name, year).</w:t>
            </w:r>
            <w:r w:rsidR="009B18EA">
              <w:rPr>
                <w:rFonts w:ascii="Times New Roman" w:hAnsi="Times New Roman" w:cs="Times New Roman"/>
                <w:sz w:val="24"/>
                <w:szCs w:val="24"/>
              </w:rPr>
              <w:br/>
            </w:r>
            <w:r w:rsidR="009B18EA">
              <w:rPr>
                <w:rFonts w:ascii="Times New Roman" w:hAnsi="Times New Roman" w:cs="Times New Roman"/>
                <w:sz w:val="24"/>
                <w:szCs w:val="24"/>
              </w:rPr>
              <w:br/>
            </w:r>
            <w:r w:rsidR="009B3B5D" w:rsidRPr="00E80BFA">
              <w:rPr>
                <w:rFonts w:ascii="Times New Roman" w:eastAsia="Times New Roman" w:hAnsi="Times New Roman" w:cs="Times New Roman"/>
                <w:bCs/>
                <w:color w:val="000000"/>
                <w:sz w:val="24"/>
                <w:szCs w:val="24"/>
                <w:shd w:val="clear" w:color="auto" w:fill="FFFFFF"/>
                <w:lang w:val="en-IN" w:eastAsia="en-IN"/>
              </w:rPr>
              <w:t>The article can b</w:t>
            </w:r>
            <w:r w:rsidR="005A7FB0" w:rsidRPr="00E80BFA">
              <w:rPr>
                <w:rFonts w:ascii="Times New Roman" w:eastAsia="Times New Roman" w:hAnsi="Times New Roman" w:cs="Times New Roman"/>
                <w:bCs/>
                <w:color w:val="000000"/>
                <w:sz w:val="24"/>
                <w:szCs w:val="24"/>
                <w:shd w:val="clear" w:color="auto" w:fill="FFFFFF"/>
                <w:lang w:val="en-IN" w:eastAsia="en-IN"/>
              </w:rPr>
              <w:t>e accepted after m</w:t>
            </w:r>
            <w:r w:rsidR="00EF26A9">
              <w:rPr>
                <w:rFonts w:ascii="Times New Roman" w:eastAsia="Times New Roman" w:hAnsi="Times New Roman" w:cs="Times New Roman"/>
                <w:bCs/>
                <w:color w:val="000000"/>
                <w:sz w:val="24"/>
                <w:szCs w:val="24"/>
                <w:shd w:val="clear" w:color="auto" w:fill="FFFFFF"/>
                <w:lang w:val="en-IN" w:eastAsia="en-IN"/>
              </w:rPr>
              <w:t>inor</w:t>
            </w:r>
            <w:r w:rsidR="005A7FB0" w:rsidRPr="00E80BFA">
              <w:rPr>
                <w:rFonts w:ascii="Times New Roman" w:eastAsia="Times New Roman" w:hAnsi="Times New Roman" w:cs="Times New Roman"/>
                <w:bCs/>
                <w:color w:val="000000"/>
                <w:sz w:val="24"/>
                <w:szCs w:val="24"/>
                <w:shd w:val="clear" w:color="auto" w:fill="FFFFFF"/>
                <w:lang w:val="en-IN" w:eastAsia="en-IN"/>
              </w:rPr>
              <w:t xml:space="preserve"> revision.</w:t>
            </w:r>
            <w:bookmarkStart w:id="0" w:name="_GoBack"/>
            <w:bookmarkEnd w:id="0"/>
          </w:p>
        </w:tc>
      </w:tr>
    </w:tbl>
    <w:p w14:paraId="2A943DF6" w14:textId="77777777" w:rsidR="007C519D" w:rsidRDefault="00EF26A9"/>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777" w:hanging="360"/>
      </w:pPr>
      <w:rPr>
        <w:rFonts w:ascii="Wingdings" w:hAnsi="Wingdings"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2AB0C5E"/>
    <w:multiLevelType w:val="hybridMultilevel"/>
    <w:tmpl w:val="62D0257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06948"/>
    <w:rsid w:val="0001618A"/>
    <w:rsid w:val="00056078"/>
    <w:rsid w:val="00063976"/>
    <w:rsid w:val="000A26D8"/>
    <w:rsid w:val="000A2DF5"/>
    <w:rsid w:val="000C00B2"/>
    <w:rsid w:val="00117F2C"/>
    <w:rsid w:val="00123677"/>
    <w:rsid w:val="001260C6"/>
    <w:rsid w:val="00126192"/>
    <w:rsid w:val="00136AAC"/>
    <w:rsid w:val="001444EB"/>
    <w:rsid w:val="00145030"/>
    <w:rsid w:val="00164001"/>
    <w:rsid w:val="00181562"/>
    <w:rsid w:val="001A0AAE"/>
    <w:rsid w:val="001B60E9"/>
    <w:rsid w:val="001D3430"/>
    <w:rsid w:val="001D3AF0"/>
    <w:rsid w:val="001E7706"/>
    <w:rsid w:val="001E7D90"/>
    <w:rsid w:val="001F1CBD"/>
    <w:rsid w:val="00203FFD"/>
    <w:rsid w:val="002144FC"/>
    <w:rsid w:val="00222559"/>
    <w:rsid w:val="002313EB"/>
    <w:rsid w:val="00236B79"/>
    <w:rsid w:val="002634A3"/>
    <w:rsid w:val="00271839"/>
    <w:rsid w:val="00295F27"/>
    <w:rsid w:val="002B6D0F"/>
    <w:rsid w:val="002D3289"/>
    <w:rsid w:val="002E0EA3"/>
    <w:rsid w:val="002F777E"/>
    <w:rsid w:val="002F7A87"/>
    <w:rsid w:val="003114F1"/>
    <w:rsid w:val="00335BC3"/>
    <w:rsid w:val="0036309E"/>
    <w:rsid w:val="003C20E7"/>
    <w:rsid w:val="003C723D"/>
    <w:rsid w:val="003D5BDD"/>
    <w:rsid w:val="00412332"/>
    <w:rsid w:val="004454B1"/>
    <w:rsid w:val="004543BB"/>
    <w:rsid w:val="00454DA8"/>
    <w:rsid w:val="0047492B"/>
    <w:rsid w:val="0048159B"/>
    <w:rsid w:val="00494B7B"/>
    <w:rsid w:val="004D0653"/>
    <w:rsid w:val="004F2490"/>
    <w:rsid w:val="00523FE2"/>
    <w:rsid w:val="0057557C"/>
    <w:rsid w:val="005A451F"/>
    <w:rsid w:val="005A4CAF"/>
    <w:rsid w:val="005A7FB0"/>
    <w:rsid w:val="005B1FFB"/>
    <w:rsid w:val="005B43F2"/>
    <w:rsid w:val="005D1939"/>
    <w:rsid w:val="005F3294"/>
    <w:rsid w:val="006A29D4"/>
    <w:rsid w:val="006B4311"/>
    <w:rsid w:val="00702496"/>
    <w:rsid w:val="00702C87"/>
    <w:rsid w:val="0076157C"/>
    <w:rsid w:val="00766199"/>
    <w:rsid w:val="00781BC0"/>
    <w:rsid w:val="007823C8"/>
    <w:rsid w:val="00782A68"/>
    <w:rsid w:val="0078766F"/>
    <w:rsid w:val="007D40FF"/>
    <w:rsid w:val="007E2FB6"/>
    <w:rsid w:val="007E612C"/>
    <w:rsid w:val="008032E5"/>
    <w:rsid w:val="0082274A"/>
    <w:rsid w:val="00825654"/>
    <w:rsid w:val="00833FEE"/>
    <w:rsid w:val="008477ED"/>
    <w:rsid w:val="008612AC"/>
    <w:rsid w:val="0086582C"/>
    <w:rsid w:val="00876F9E"/>
    <w:rsid w:val="0088190F"/>
    <w:rsid w:val="0088270B"/>
    <w:rsid w:val="008C79E1"/>
    <w:rsid w:val="008F69D1"/>
    <w:rsid w:val="00900A63"/>
    <w:rsid w:val="00911F72"/>
    <w:rsid w:val="00921E70"/>
    <w:rsid w:val="00922E55"/>
    <w:rsid w:val="009625E2"/>
    <w:rsid w:val="009B18EA"/>
    <w:rsid w:val="009B3B5D"/>
    <w:rsid w:val="009C3F0E"/>
    <w:rsid w:val="009F239B"/>
    <w:rsid w:val="009F26C3"/>
    <w:rsid w:val="009F416E"/>
    <w:rsid w:val="009F4D69"/>
    <w:rsid w:val="00A40B4F"/>
    <w:rsid w:val="00A618E5"/>
    <w:rsid w:val="00A73D92"/>
    <w:rsid w:val="00AC711F"/>
    <w:rsid w:val="00AD41E4"/>
    <w:rsid w:val="00B05C24"/>
    <w:rsid w:val="00B076A2"/>
    <w:rsid w:val="00B2621E"/>
    <w:rsid w:val="00B36B53"/>
    <w:rsid w:val="00B469B8"/>
    <w:rsid w:val="00B81AB2"/>
    <w:rsid w:val="00BA3555"/>
    <w:rsid w:val="00BA4203"/>
    <w:rsid w:val="00BB47F4"/>
    <w:rsid w:val="00BF1469"/>
    <w:rsid w:val="00C16A36"/>
    <w:rsid w:val="00C203AC"/>
    <w:rsid w:val="00C7160C"/>
    <w:rsid w:val="00C92C39"/>
    <w:rsid w:val="00CB19E6"/>
    <w:rsid w:val="00CE002C"/>
    <w:rsid w:val="00CE67F9"/>
    <w:rsid w:val="00CF0769"/>
    <w:rsid w:val="00CF1A59"/>
    <w:rsid w:val="00D05099"/>
    <w:rsid w:val="00D142F9"/>
    <w:rsid w:val="00D17C4B"/>
    <w:rsid w:val="00D67C61"/>
    <w:rsid w:val="00D70B38"/>
    <w:rsid w:val="00D93981"/>
    <w:rsid w:val="00DA1115"/>
    <w:rsid w:val="00DB3CCD"/>
    <w:rsid w:val="00DC08BE"/>
    <w:rsid w:val="00E042FD"/>
    <w:rsid w:val="00E04E70"/>
    <w:rsid w:val="00E61358"/>
    <w:rsid w:val="00E67A55"/>
    <w:rsid w:val="00E67D13"/>
    <w:rsid w:val="00E80BFA"/>
    <w:rsid w:val="00E825A0"/>
    <w:rsid w:val="00E94069"/>
    <w:rsid w:val="00EC5A1F"/>
    <w:rsid w:val="00EE3F0F"/>
    <w:rsid w:val="00EF26A9"/>
    <w:rsid w:val="00F05DFC"/>
    <w:rsid w:val="00F061F5"/>
    <w:rsid w:val="00F218BE"/>
    <w:rsid w:val="00F34AFF"/>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6B46926B-4C4E-4A2A-BC78-5319CD27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B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51734093">
      <w:bodyDiv w:val="1"/>
      <w:marLeft w:val="0"/>
      <w:marRight w:val="0"/>
      <w:marTop w:val="0"/>
      <w:marBottom w:val="0"/>
      <w:divBdr>
        <w:top w:val="none" w:sz="0" w:space="0" w:color="auto"/>
        <w:left w:val="none" w:sz="0" w:space="0" w:color="auto"/>
        <w:bottom w:val="none" w:sz="0" w:space="0" w:color="auto"/>
        <w:right w:val="none" w:sz="0" w:space="0" w:color="auto"/>
      </w:divBdr>
    </w:div>
    <w:div w:id="86971385">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2207471">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
    <w:div w:id="658314608">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86001781">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88809976">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479301068">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16055580">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14</cp:revision>
  <dcterms:created xsi:type="dcterms:W3CDTF">2025-08-14T08:41:00Z</dcterms:created>
  <dcterms:modified xsi:type="dcterms:W3CDTF">2025-09-10T06:42:00Z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